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Edital nº 02/2025 da Pró-Reitoria de Gestão de Pessoas</w:t>
      </w:r>
    </w:p>
    <w:p>
      <w:pPr>
        <w:pStyle w:val="LOnormal"/>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LOnormal"/>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PROCESSO SELETIVO PARA BOLSA DE APOIO ADMINISTRATIVO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Pró-reitoria de Gestão de Pessoas (PROGEP) da Universidade Federal do Delta do Parnaíba (UFDPar) abre inscrições para o processo seletivo da Bolsa Apoio Administrativo (BAA), para atuação em setores administrativos da UFDPar.</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1. DA BOLSA DE APOIO ADMINISTRATIVO  </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1.1. A Bolsa de Apoio Administrativo, destinada aos alunos dos cursos de graduação da Universidade Federal do Delta do Parnaíba (UFDPar), possui o propósito de atender às demandas administrativas da instituição, previstas no Plano de Desenvolvimento da Unidade (PDU) dos setores da Universidade. Este programa visa proporcionar aos estudantes uma experiência prática e enriquecedora em setores estratégicos, tais como  Reitoria, Pró-reitorias, Unidades Especiais e Órgãos Suplementares, visando o desenvolvimento acadêmico e profissional. Além disso, busca integrar teoria e prática, oferecendo oportunidades de aprendizado nas áreas administrativas e de comunicação social em instituição educacional, com atividades que variam desde organização documental até apoio na produção de conteúdo para mídias sociais. </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1.2. São critérios para candidatar-se à Bolsa de Apoio Administrativo: </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a.</w:t>
      </w:r>
      <w:r>
        <w:rPr>
          <w:rFonts w:eastAsia="Times New Roman" w:cs="Times New Roman" w:ascii="Times New Roman" w:hAnsi="Times New Roman"/>
          <w:sz w:val="24"/>
          <w:szCs w:val="24"/>
        </w:rPr>
        <w:t xml:space="preserve"> Ser estudante da Universidade Federal do Delta do Parnaíba e estar matriculado em um dos cursos de graduação da Instituição no período de vigência da bolsa; </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b. </w:t>
      </w:r>
      <w:r>
        <w:rPr>
          <w:rFonts w:eastAsia="Times New Roman" w:cs="Times New Roman" w:ascii="Times New Roman" w:hAnsi="Times New Roman"/>
          <w:sz w:val="24"/>
          <w:szCs w:val="24"/>
        </w:rPr>
        <w:t xml:space="preserve">Ter Índice de Rendimento Acadêmico (IRA) igual ou superior a 7,0 (sete); </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c.</w:t>
      </w:r>
      <w:r>
        <w:rPr>
          <w:rFonts w:eastAsia="Times New Roman" w:cs="Times New Roman" w:ascii="Times New Roman" w:hAnsi="Times New Roman"/>
          <w:sz w:val="24"/>
          <w:szCs w:val="24"/>
        </w:rPr>
        <w:t xml:space="preserve"> Estar matriculado, entre o 2º (segundo) e último período regulamentar do seu curso (número mínimo de períodos para sua conclusão); </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d. </w:t>
      </w:r>
      <w:r>
        <w:rPr>
          <w:rFonts w:eastAsia="Times New Roman" w:cs="Times New Roman" w:ascii="Times New Roman" w:hAnsi="Times New Roman"/>
          <w:sz w:val="24"/>
          <w:szCs w:val="24"/>
        </w:rPr>
        <w:t xml:space="preserve">Ter disponibilidade de 4 (quatro) horas diárias e 20 (vinte) horas semanais no turno/horário da Bolsa de Apoio Administrativo; </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e.</w:t>
      </w:r>
      <w:r>
        <w:rPr>
          <w:rFonts w:eastAsia="Times New Roman" w:cs="Times New Roman" w:ascii="Times New Roman" w:hAnsi="Times New Roman"/>
          <w:sz w:val="24"/>
          <w:szCs w:val="24"/>
        </w:rPr>
        <w:t xml:space="preserve"> Não receber qualquer outra bolsa de programa acadêmico ou de assistência estudantil da UFDPar; </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f.</w:t>
      </w:r>
      <w:r>
        <w:rPr>
          <w:rFonts w:eastAsia="Times New Roman" w:cs="Times New Roman" w:ascii="Times New Roman" w:hAnsi="Times New Roman"/>
          <w:sz w:val="24"/>
          <w:szCs w:val="24"/>
        </w:rPr>
        <w:t xml:space="preserve"> Ter aptidão para realização das atividades inerentes do setor ao qual se inscreveu, informadas no Anexo II deste Edital.</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DOS SETORES CONTEMPLADOS</w:t>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2.1 Após redimensionamento das vagas utilizando o Edital n° 01/2024 - PROGEP para análise, ficou definida a seguinte distribuição por setor:</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0"/>
          <w:szCs w:val="20"/>
        </w:rPr>
      </w:pPr>
      <w:r>
        <w:rPr>
          <w:rFonts w:eastAsia="Times New Roman" w:cs="Times New Roman" w:ascii="Times New Roman" w:hAnsi="Times New Roman"/>
          <w:sz w:val="24"/>
          <w:szCs w:val="24"/>
        </w:rPr>
        <w:tab/>
        <w:tab/>
        <w:tab/>
        <w:t xml:space="preserve">       </w:t>
      </w:r>
      <w:r>
        <w:rPr>
          <w:rFonts w:eastAsia="Times New Roman" w:cs="Times New Roman" w:ascii="Times New Roman" w:hAnsi="Times New Roman"/>
          <w:sz w:val="20"/>
          <w:szCs w:val="20"/>
        </w:rPr>
        <w:t>Quadro 1: Distribuição por setor - BAA 2025.</w:t>
      </w:r>
    </w:p>
    <w:tbl>
      <w:tblPr>
        <w:tblStyle w:val="Table1"/>
        <w:tblpPr w:vertAnchor="text" w:horzAnchor="text" w:bottomFromText="180" w:leftFromText="180" w:rightFromText="180" w:topFromText="180" w:tblpX="1166" w:tblpY="0"/>
        <w:tblW w:w="6600" w:type="dxa"/>
        <w:jc w:val="left"/>
        <w:tblInd w:w="-5" w:type="dxa"/>
        <w:tblLayout w:type="fixed"/>
        <w:tblCellMar>
          <w:top w:w="40" w:type="dxa"/>
          <w:left w:w="120" w:type="dxa"/>
          <w:bottom w:w="40" w:type="dxa"/>
          <w:right w:w="120" w:type="dxa"/>
        </w:tblCellMar>
        <w:tblLook w:val="0600"/>
      </w:tblPr>
      <w:tblGrid>
        <w:gridCol w:w="1785"/>
        <w:gridCol w:w="4814"/>
      </w:tblGrid>
      <w:tr>
        <w:trPr>
          <w:trHeight w:val="795" w:hRule="atLeast"/>
        </w:trPr>
        <w:tc>
          <w:tcPr>
            <w:tcW w:w="1785" w:type="dxa"/>
            <w:tcBorders>
              <w:top w:val="single" w:sz="4" w:space="0" w:color="000000"/>
              <w:left w:val="single" w:sz="4" w:space="0" w:color="000000"/>
              <w:bottom w:val="single" w:sz="4" w:space="0" w:color="000000"/>
              <w:right w:val="single" w:sz="4" w:space="0" w:color="000000"/>
            </w:tcBorders>
            <w:shd w:fill="356854" w:val="clear"/>
            <w:vAlign w:val="center"/>
          </w:tcPr>
          <w:p>
            <w:pPr>
              <w:pStyle w:val="LOnormal"/>
              <w:widowControl w:val="false"/>
              <w:jc w:val="center"/>
              <w:rPr>
                <w:color w:val="FFFFFF"/>
                <w:sz w:val="20"/>
                <w:szCs w:val="20"/>
              </w:rPr>
            </w:pPr>
            <w:r>
              <w:rPr>
                <w:rFonts w:eastAsia="Times New Roman" w:cs="Times New Roman" w:ascii="Times New Roman" w:hAnsi="Times New Roman"/>
                <w:b/>
                <w:color w:val="FFFFFF"/>
                <w:sz w:val="20"/>
                <w:szCs w:val="20"/>
              </w:rPr>
              <w:t xml:space="preserve">QUANTIDADE </w:t>
            </w:r>
          </w:p>
        </w:tc>
        <w:tc>
          <w:tcPr>
            <w:tcW w:w="4814" w:type="dxa"/>
            <w:tcBorders>
              <w:top w:val="single" w:sz="4" w:space="0" w:color="000000"/>
              <w:left w:val="single" w:sz="4" w:space="0" w:color="000000"/>
              <w:bottom w:val="single" w:sz="4" w:space="0" w:color="000000"/>
              <w:right w:val="single" w:sz="4" w:space="0" w:color="000000"/>
            </w:tcBorders>
            <w:shd w:fill="356854" w:val="clear"/>
            <w:vAlign w:val="center"/>
          </w:tcPr>
          <w:p>
            <w:pPr>
              <w:pStyle w:val="LOnormal"/>
              <w:widowControl w:val="false"/>
              <w:jc w:val="center"/>
              <w:rPr>
                <w:color w:val="FFFFFF"/>
                <w:sz w:val="20"/>
                <w:szCs w:val="20"/>
              </w:rPr>
            </w:pPr>
            <w:r>
              <w:rPr>
                <w:rFonts w:eastAsia="Times New Roman" w:cs="Times New Roman" w:ascii="Times New Roman" w:hAnsi="Times New Roman"/>
                <w:b/>
                <w:color w:val="FFFFFF"/>
                <w:sz w:val="20"/>
                <w:szCs w:val="20"/>
              </w:rPr>
              <w:t>SETOR</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6</w:t>
            </w:r>
          </w:p>
        </w:tc>
        <w:tc>
          <w:tcPr>
            <w:tcW w:w="4814"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rPr>
                <w:sz w:val="20"/>
                <w:szCs w:val="20"/>
              </w:rPr>
            </w:pPr>
            <w:r>
              <w:rPr>
                <w:rFonts w:eastAsia="Times New Roman" w:cs="Times New Roman" w:ascii="Times New Roman" w:hAnsi="Times New Roman"/>
                <w:sz w:val="20"/>
                <w:szCs w:val="20"/>
              </w:rPr>
              <w:t>Biblioteca</w:t>
            </w:r>
          </w:p>
        </w:tc>
      </w:tr>
      <w:tr>
        <w:trPr>
          <w:trHeight w:val="555" w:hRule="atLeast"/>
        </w:trPr>
        <w:tc>
          <w:tcPr>
            <w:tcW w:w="1785"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jc w:val="center"/>
              <w:rPr>
                <w:sz w:val="20"/>
                <w:szCs w:val="20"/>
              </w:rPr>
            </w:pPr>
            <w:r>
              <w:rPr>
                <w:rFonts w:eastAsia="Times New Roman" w:cs="Times New Roman" w:ascii="Times New Roman" w:hAnsi="Times New Roman"/>
                <w:sz w:val="20"/>
                <w:szCs w:val="20"/>
              </w:rPr>
              <w:t>1</w:t>
            </w:r>
          </w:p>
        </w:tc>
        <w:tc>
          <w:tcPr>
            <w:tcW w:w="4814"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rPr>
                <w:sz w:val="20"/>
                <w:szCs w:val="20"/>
              </w:rPr>
            </w:pPr>
            <w:r>
              <w:rPr>
                <w:rFonts w:eastAsia="Times New Roman" w:cs="Times New Roman" w:ascii="Times New Roman" w:hAnsi="Times New Roman"/>
                <w:sz w:val="20"/>
                <w:szCs w:val="20"/>
              </w:rPr>
              <w:t>Coleção Zoológica</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sz w:val="20"/>
                <w:szCs w:val="20"/>
              </w:rPr>
            </w:pPr>
            <w:r>
              <w:rPr>
                <w:rFonts w:eastAsia="Times New Roman" w:cs="Times New Roman" w:ascii="Times New Roman" w:hAnsi="Times New Roman"/>
                <w:sz w:val="20"/>
                <w:szCs w:val="20"/>
              </w:rPr>
              <w:t>1</w:t>
            </w:r>
          </w:p>
        </w:tc>
        <w:tc>
          <w:tcPr>
            <w:tcW w:w="4814"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rPr>
                <w:sz w:val="20"/>
                <w:szCs w:val="20"/>
              </w:rPr>
            </w:pPr>
            <w:r>
              <w:rPr>
                <w:rFonts w:eastAsia="Times New Roman" w:cs="Times New Roman" w:ascii="Times New Roman" w:hAnsi="Times New Roman"/>
                <w:sz w:val="20"/>
                <w:szCs w:val="20"/>
              </w:rPr>
              <w:t>Editora</w:t>
            </w:r>
          </w:p>
        </w:tc>
      </w:tr>
      <w:tr>
        <w:trPr>
          <w:trHeight w:val="555" w:hRule="atLeast"/>
        </w:trPr>
        <w:tc>
          <w:tcPr>
            <w:tcW w:w="1785"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jc w:val="center"/>
              <w:rPr>
                <w:sz w:val="20"/>
                <w:szCs w:val="20"/>
              </w:rPr>
            </w:pPr>
            <w:r>
              <w:rPr>
                <w:rFonts w:eastAsia="Times New Roman" w:cs="Times New Roman" w:ascii="Times New Roman" w:hAnsi="Times New Roman"/>
                <w:sz w:val="20"/>
                <w:szCs w:val="20"/>
              </w:rPr>
              <w:t>2</w:t>
            </w:r>
          </w:p>
        </w:tc>
        <w:tc>
          <w:tcPr>
            <w:tcW w:w="4814"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rPr>
                <w:sz w:val="20"/>
                <w:szCs w:val="20"/>
              </w:rPr>
            </w:pPr>
            <w:r>
              <w:rPr>
                <w:rFonts w:eastAsia="Times New Roman" w:cs="Times New Roman" w:ascii="Times New Roman" w:hAnsi="Times New Roman"/>
                <w:sz w:val="20"/>
                <w:szCs w:val="20"/>
              </w:rPr>
              <w:t>Escola de Aplicação</w:t>
            </w:r>
          </w:p>
        </w:tc>
      </w:tr>
      <w:tr>
        <w:trPr>
          <w:trHeight w:val="555" w:hRule="atLeast"/>
        </w:trPr>
        <w:tc>
          <w:tcPr>
            <w:tcW w:w="17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sz w:val="20"/>
                <w:szCs w:val="20"/>
              </w:rPr>
            </w:pPr>
            <w:r>
              <w:rPr>
                <w:rFonts w:eastAsia="Times New Roman" w:cs="Times New Roman" w:ascii="Times New Roman" w:hAnsi="Times New Roman"/>
                <w:sz w:val="20"/>
                <w:szCs w:val="20"/>
              </w:rPr>
              <w:t>2</w:t>
            </w:r>
          </w:p>
        </w:tc>
        <w:tc>
          <w:tcPr>
            <w:tcW w:w="4814"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rPr>
                <w:sz w:val="20"/>
                <w:szCs w:val="20"/>
              </w:rPr>
            </w:pPr>
            <w:r>
              <w:rPr>
                <w:rFonts w:eastAsia="Times New Roman" w:cs="Times New Roman" w:ascii="Times New Roman" w:hAnsi="Times New Roman"/>
                <w:sz w:val="20"/>
                <w:szCs w:val="20"/>
              </w:rPr>
              <w:t>Estação de Aquicultura</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jc w:val="center"/>
              <w:rPr>
                <w:sz w:val="20"/>
                <w:szCs w:val="20"/>
              </w:rPr>
            </w:pPr>
            <w:r>
              <w:rPr>
                <w:rFonts w:eastAsia="Times New Roman" w:cs="Times New Roman" w:ascii="Times New Roman" w:hAnsi="Times New Roman"/>
                <w:sz w:val="20"/>
                <w:szCs w:val="20"/>
              </w:rPr>
              <w:t>2</w:t>
            </w:r>
          </w:p>
        </w:tc>
        <w:tc>
          <w:tcPr>
            <w:tcW w:w="4814"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rPr>
                <w:sz w:val="20"/>
                <w:szCs w:val="20"/>
              </w:rPr>
            </w:pPr>
            <w:r>
              <w:rPr>
                <w:rFonts w:eastAsia="Times New Roman" w:cs="Times New Roman" w:ascii="Times New Roman" w:hAnsi="Times New Roman"/>
                <w:sz w:val="20"/>
                <w:szCs w:val="20"/>
              </w:rPr>
              <w:t>Herbário do Delta</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sz w:val="20"/>
                <w:szCs w:val="20"/>
              </w:rPr>
            </w:pPr>
            <w:r>
              <w:rPr>
                <w:rFonts w:eastAsia="Times New Roman" w:cs="Times New Roman" w:ascii="Times New Roman" w:hAnsi="Times New Roman"/>
                <w:sz w:val="20"/>
                <w:szCs w:val="20"/>
              </w:rPr>
              <w:t>1</w:t>
            </w:r>
          </w:p>
        </w:tc>
        <w:tc>
          <w:tcPr>
            <w:tcW w:w="4814"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rPr>
                <w:sz w:val="20"/>
                <w:szCs w:val="20"/>
              </w:rPr>
            </w:pPr>
            <w:r>
              <w:rPr>
                <w:rFonts w:eastAsia="Times New Roman" w:cs="Times New Roman" w:ascii="Times New Roman" w:hAnsi="Times New Roman"/>
                <w:sz w:val="20"/>
                <w:szCs w:val="20"/>
              </w:rPr>
              <w:t>PRAE</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jc w:val="center"/>
              <w:rPr>
                <w:sz w:val="20"/>
                <w:szCs w:val="20"/>
              </w:rPr>
            </w:pPr>
            <w:r>
              <w:rPr>
                <w:rFonts w:eastAsia="Times New Roman" w:cs="Times New Roman" w:ascii="Times New Roman" w:hAnsi="Times New Roman"/>
                <w:sz w:val="20"/>
                <w:szCs w:val="20"/>
              </w:rPr>
              <w:t>1</w:t>
            </w:r>
          </w:p>
        </w:tc>
        <w:tc>
          <w:tcPr>
            <w:tcW w:w="4814"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rPr>
                <w:sz w:val="20"/>
                <w:szCs w:val="20"/>
              </w:rPr>
            </w:pPr>
            <w:r>
              <w:rPr>
                <w:rFonts w:eastAsia="Times New Roman" w:cs="Times New Roman" w:ascii="Times New Roman" w:hAnsi="Times New Roman"/>
                <w:sz w:val="20"/>
                <w:szCs w:val="20"/>
              </w:rPr>
              <w:t>PREG</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4814"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rPr>
                <w:rFonts w:ascii="Times New Roman" w:hAnsi="Times New Roman" w:eastAsia="Times New Roman" w:cs="Times New Roman"/>
                <w:sz w:val="20"/>
                <w:szCs w:val="20"/>
              </w:rPr>
            </w:pPr>
            <w:r>
              <w:rPr>
                <w:rFonts w:eastAsia="Times New Roman" w:cs="Times New Roman" w:ascii="Times New Roman" w:hAnsi="Times New Roman"/>
                <w:sz w:val="20"/>
                <w:szCs w:val="20"/>
              </w:rPr>
              <w:t>PREG - Divisão de Laboratórios de Ensino</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sz w:val="20"/>
                <w:szCs w:val="20"/>
              </w:rPr>
            </w:pPr>
            <w:r>
              <w:rPr>
                <w:rFonts w:eastAsia="Times New Roman" w:cs="Times New Roman" w:ascii="Times New Roman" w:hAnsi="Times New Roman"/>
                <w:sz w:val="20"/>
                <w:szCs w:val="20"/>
              </w:rPr>
              <w:t>1</w:t>
            </w:r>
          </w:p>
        </w:tc>
        <w:tc>
          <w:tcPr>
            <w:tcW w:w="4814"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rPr>
                <w:sz w:val="20"/>
                <w:szCs w:val="20"/>
              </w:rPr>
            </w:pPr>
            <w:r>
              <w:rPr>
                <w:rFonts w:eastAsia="Times New Roman" w:cs="Times New Roman" w:ascii="Times New Roman" w:hAnsi="Times New Roman"/>
                <w:sz w:val="20"/>
                <w:szCs w:val="20"/>
              </w:rPr>
              <w:t>PREUNI</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jc w:val="center"/>
              <w:rPr>
                <w:sz w:val="20"/>
                <w:szCs w:val="20"/>
              </w:rPr>
            </w:pPr>
            <w:r>
              <w:rPr>
                <w:rFonts w:eastAsia="Times New Roman" w:cs="Times New Roman" w:ascii="Times New Roman" w:hAnsi="Times New Roman"/>
                <w:sz w:val="20"/>
                <w:szCs w:val="20"/>
              </w:rPr>
              <w:t>2</w:t>
            </w:r>
          </w:p>
        </w:tc>
        <w:tc>
          <w:tcPr>
            <w:tcW w:w="4814"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rPr>
                <w:sz w:val="20"/>
                <w:szCs w:val="20"/>
              </w:rPr>
            </w:pPr>
            <w:r>
              <w:rPr>
                <w:rFonts w:eastAsia="Times New Roman" w:cs="Times New Roman" w:ascii="Times New Roman" w:hAnsi="Times New Roman"/>
                <w:sz w:val="20"/>
                <w:szCs w:val="20"/>
              </w:rPr>
              <w:t>PREX</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sz w:val="20"/>
                <w:szCs w:val="20"/>
              </w:rPr>
            </w:pPr>
            <w:r>
              <w:rPr>
                <w:rFonts w:eastAsia="Times New Roman" w:cs="Times New Roman" w:ascii="Times New Roman" w:hAnsi="Times New Roman"/>
                <w:sz w:val="20"/>
                <w:szCs w:val="20"/>
              </w:rPr>
              <w:t>2</w:t>
            </w:r>
          </w:p>
        </w:tc>
        <w:tc>
          <w:tcPr>
            <w:tcW w:w="4814"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rPr>
                <w:sz w:val="20"/>
                <w:szCs w:val="20"/>
              </w:rPr>
            </w:pPr>
            <w:r>
              <w:rPr>
                <w:rFonts w:eastAsia="Times New Roman" w:cs="Times New Roman" w:ascii="Times New Roman" w:hAnsi="Times New Roman"/>
                <w:sz w:val="20"/>
                <w:szCs w:val="20"/>
              </w:rPr>
              <w:t>PROGEP</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jc w:val="center"/>
              <w:rPr>
                <w:sz w:val="20"/>
                <w:szCs w:val="20"/>
              </w:rPr>
            </w:pPr>
            <w:r>
              <w:rPr>
                <w:rFonts w:eastAsia="Times New Roman" w:cs="Times New Roman" w:ascii="Times New Roman" w:hAnsi="Times New Roman"/>
                <w:sz w:val="20"/>
                <w:szCs w:val="20"/>
              </w:rPr>
              <w:t>2</w:t>
            </w:r>
          </w:p>
        </w:tc>
        <w:tc>
          <w:tcPr>
            <w:tcW w:w="4814"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rPr>
                <w:sz w:val="20"/>
                <w:szCs w:val="20"/>
              </w:rPr>
            </w:pPr>
            <w:r>
              <w:rPr>
                <w:rFonts w:eastAsia="Times New Roman" w:cs="Times New Roman" w:ascii="Times New Roman" w:hAnsi="Times New Roman"/>
                <w:sz w:val="20"/>
                <w:szCs w:val="20"/>
              </w:rPr>
              <w:t>PROPLAN</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sz w:val="20"/>
                <w:szCs w:val="20"/>
              </w:rPr>
            </w:pPr>
            <w:r>
              <w:rPr>
                <w:rFonts w:eastAsia="Times New Roman" w:cs="Times New Roman" w:ascii="Times New Roman" w:hAnsi="Times New Roman"/>
                <w:sz w:val="20"/>
                <w:szCs w:val="20"/>
              </w:rPr>
              <w:t>1</w:t>
            </w:r>
          </w:p>
        </w:tc>
        <w:tc>
          <w:tcPr>
            <w:tcW w:w="4814"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rPr>
                <w:sz w:val="20"/>
                <w:szCs w:val="20"/>
              </w:rPr>
            </w:pPr>
            <w:r>
              <w:rPr>
                <w:rFonts w:eastAsia="Times New Roman" w:cs="Times New Roman" w:ascii="Times New Roman" w:hAnsi="Times New Roman"/>
                <w:sz w:val="20"/>
                <w:szCs w:val="20"/>
              </w:rPr>
              <w:t>PROPOPI</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jc w:val="center"/>
              <w:rPr>
                <w:sz w:val="20"/>
                <w:szCs w:val="20"/>
              </w:rPr>
            </w:pPr>
            <w:r>
              <w:rPr>
                <w:rFonts w:eastAsia="Times New Roman" w:cs="Times New Roman" w:ascii="Times New Roman" w:hAnsi="Times New Roman"/>
                <w:sz w:val="20"/>
                <w:szCs w:val="20"/>
              </w:rPr>
              <w:t>1</w:t>
            </w:r>
          </w:p>
        </w:tc>
        <w:tc>
          <w:tcPr>
            <w:tcW w:w="4814"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rPr>
                <w:sz w:val="20"/>
                <w:szCs w:val="20"/>
              </w:rPr>
            </w:pPr>
            <w:r>
              <w:rPr>
                <w:rFonts w:eastAsia="Times New Roman" w:cs="Times New Roman" w:ascii="Times New Roman" w:hAnsi="Times New Roman"/>
                <w:sz w:val="20"/>
                <w:szCs w:val="20"/>
              </w:rPr>
              <w:t>PROTIC</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4814"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rPr>
                <w:rFonts w:ascii="Times New Roman" w:hAnsi="Times New Roman" w:eastAsia="Times New Roman" w:cs="Times New Roman"/>
                <w:sz w:val="20"/>
                <w:szCs w:val="20"/>
              </w:rPr>
            </w:pPr>
            <w:r>
              <w:rPr>
                <w:rFonts w:eastAsia="Times New Roman" w:cs="Times New Roman" w:ascii="Times New Roman" w:hAnsi="Times New Roman"/>
                <w:sz w:val="20"/>
                <w:szCs w:val="20"/>
              </w:rPr>
              <w:t>PROTIC - Coordenadoria de Comunicação Institucional</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4814"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rPr>
                <w:rFonts w:ascii="Times New Roman" w:hAnsi="Times New Roman" w:eastAsia="Times New Roman" w:cs="Times New Roman"/>
                <w:sz w:val="20"/>
                <w:szCs w:val="20"/>
              </w:rPr>
            </w:pPr>
            <w:r>
              <w:rPr>
                <w:rFonts w:eastAsia="Times New Roman" w:cs="Times New Roman" w:ascii="Times New Roman" w:hAnsi="Times New Roman"/>
                <w:sz w:val="20"/>
                <w:szCs w:val="20"/>
              </w:rPr>
              <w:t>Procuradoria</w:t>
            </w:r>
          </w:p>
        </w:tc>
      </w:tr>
      <w:tr>
        <w:trPr>
          <w:trHeight w:val="315" w:hRule="atLeast"/>
        </w:trPr>
        <w:tc>
          <w:tcPr>
            <w:tcW w:w="178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jc w:val="center"/>
              <w:rPr>
                <w:sz w:val="20"/>
                <w:szCs w:val="20"/>
              </w:rPr>
            </w:pPr>
            <w:r>
              <w:rPr>
                <w:rFonts w:eastAsia="Times New Roman" w:cs="Times New Roman" w:ascii="Times New Roman" w:hAnsi="Times New Roman"/>
                <w:sz w:val="20"/>
                <w:szCs w:val="20"/>
              </w:rPr>
              <w:t>7</w:t>
            </w:r>
          </w:p>
        </w:tc>
        <w:tc>
          <w:tcPr>
            <w:tcW w:w="481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rPr>
                <w:sz w:val="20"/>
                <w:szCs w:val="20"/>
              </w:rPr>
            </w:pPr>
            <w:r>
              <w:rPr>
                <w:rFonts w:eastAsia="Times New Roman" w:cs="Times New Roman" w:ascii="Times New Roman" w:hAnsi="Times New Roman"/>
                <w:sz w:val="20"/>
                <w:szCs w:val="20"/>
              </w:rPr>
              <w:t>Reitoria</w:t>
            </w:r>
          </w:p>
        </w:tc>
      </w:tr>
      <w:tr>
        <w:trPr>
          <w:trHeight w:val="555" w:hRule="atLeast"/>
        </w:trPr>
        <w:tc>
          <w:tcPr>
            <w:tcW w:w="1785"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jc w:val="center"/>
              <w:rPr>
                <w:sz w:val="20"/>
                <w:szCs w:val="20"/>
              </w:rPr>
            </w:pPr>
            <w:r>
              <w:rPr>
                <w:rFonts w:eastAsia="Times New Roman" w:cs="Times New Roman" w:ascii="Times New Roman" w:hAnsi="Times New Roman"/>
                <w:sz w:val="20"/>
                <w:szCs w:val="20"/>
              </w:rPr>
              <w:t>1</w:t>
            </w:r>
          </w:p>
        </w:tc>
        <w:tc>
          <w:tcPr>
            <w:tcW w:w="4814" w:type="dxa"/>
            <w:tcBorders>
              <w:top w:val="single" w:sz="4" w:space="0" w:color="000000"/>
              <w:left w:val="single" w:sz="4" w:space="0" w:color="000000"/>
              <w:bottom w:val="single" w:sz="4" w:space="0" w:color="000000"/>
              <w:right w:val="single" w:sz="4" w:space="0" w:color="000000"/>
            </w:tcBorders>
            <w:shd w:fill="F6F8F9" w:val="clear"/>
            <w:vAlign w:val="center"/>
          </w:tcPr>
          <w:p>
            <w:pPr>
              <w:pStyle w:val="LOnormal"/>
              <w:widowControl w:val="false"/>
              <w:rPr>
                <w:sz w:val="20"/>
                <w:szCs w:val="20"/>
              </w:rPr>
            </w:pPr>
            <w:r>
              <w:rPr>
                <w:rFonts w:eastAsia="Times New Roman" w:cs="Times New Roman" w:ascii="Times New Roman" w:hAnsi="Times New Roman"/>
                <w:sz w:val="20"/>
                <w:szCs w:val="20"/>
              </w:rPr>
              <w:t>Serviço Escola de Fisioterapia</w:t>
            </w:r>
          </w:p>
        </w:tc>
      </w:tr>
      <w:tr>
        <w:trPr>
          <w:trHeight w:val="555" w:hRule="atLeast"/>
        </w:trPr>
        <w:tc>
          <w:tcPr>
            <w:tcW w:w="17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sz w:val="20"/>
                <w:szCs w:val="20"/>
              </w:rPr>
            </w:pPr>
            <w:r>
              <w:rPr>
                <w:rFonts w:eastAsia="Times New Roman" w:cs="Times New Roman" w:ascii="Times New Roman" w:hAnsi="Times New Roman"/>
                <w:sz w:val="20"/>
                <w:szCs w:val="20"/>
              </w:rPr>
              <w:t>1</w:t>
            </w:r>
          </w:p>
        </w:tc>
        <w:tc>
          <w:tcPr>
            <w:tcW w:w="4814" w:type="dxa"/>
            <w:tcBorders>
              <w:top w:val="single" w:sz="4" w:space="0" w:color="000000"/>
              <w:left w:val="single" w:sz="4" w:space="0" w:color="000000"/>
              <w:bottom w:val="single" w:sz="4" w:space="0" w:color="000000"/>
              <w:right w:val="single" w:sz="4" w:space="0" w:color="000000"/>
            </w:tcBorders>
            <w:shd w:fill="FFFFFF" w:val="clear"/>
            <w:vAlign w:val="center"/>
          </w:tcPr>
          <w:p>
            <w:pPr>
              <w:pStyle w:val="LOnormal"/>
              <w:widowControl w:val="false"/>
              <w:rPr>
                <w:sz w:val="20"/>
                <w:szCs w:val="20"/>
              </w:rPr>
            </w:pPr>
            <w:r>
              <w:rPr>
                <w:rFonts w:eastAsia="Times New Roman" w:cs="Times New Roman" w:ascii="Times New Roman" w:hAnsi="Times New Roman"/>
                <w:sz w:val="20"/>
                <w:szCs w:val="20"/>
              </w:rPr>
              <w:t>Serviço Escola de Psicologia</w:t>
            </w:r>
          </w:p>
        </w:tc>
      </w:tr>
    </w:tbl>
    <w:p>
      <w:pPr>
        <w:pStyle w:val="LOnormal"/>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0"/>
          <w:szCs w:val="20"/>
        </w:rPr>
      </w:pPr>
      <w:r>
        <w:rPr>
          <w:rFonts w:eastAsia="Times New Roman" w:cs="Times New Roman" w:ascii="Times New Roman" w:hAnsi="Times New Roman"/>
          <w:sz w:val="24"/>
          <w:szCs w:val="24"/>
        </w:rPr>
        <w:tab/>
        <w:tab/>
        <w:tab/>
      </w:r>
    </w:p>
    <w:p>
      <w:pPr>
        <w:pStyle w:val="LOnormal"/>
        <w:ind w:left="0" w:hanging="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Onormal"/>
        <w:ind w:left="0" w:hanging="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Onormal"/>
        <w:ind w:left="0" w:hanging="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Onormal"/>
        <w:ind w:left="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3. DAS VAGAS </w:t>
      </w:r>
    </w:p>
    <w:p>
      <w:pPr>
        <w:pStyle w:val="LOnormal"/>
        <w:ind w:left="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3.1. Serão selecionados candidatos para a ocupação de: </w:t>
      </w:r>
    </w:p>
    <w:p>
      <w:pPr>
        <w:pStyle w:val="LOnormal"/>
        <w:numPr>
          <w:ilvl w:val="0"/>
          <w:numId w:val="22"/>
        </w:numPr>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45 (quarenta e cinco) vagas para início imediato, com escolha de setor, conforme Quadro 1, item 2.1 do Edital; </w:t>
      </w:r>
    </w:p>
    <w:p>
      <w:pPr>
        <w:pStyle w:val="LOnormal"/>
        <w:numPr>
          <w:ilvl w:val="0"/>
          <w:numId w:val="22"/>
        </w:numPr>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135 (cento e trinta e cinco) vagas para cadastro de reserva, sem escolha de setor.</w:t>
      </w:r>
    </w:p>
    <w:p>
      <w:pPr>
        <w:pStyle w:val="LOnormal"/>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3.2 A classificação das vagas imediatas, por setor, dar-se-á por análise dos seguintes itens:</w:t>
      </w:r>
    </w:p>
    <w:p>
      <w:pPr>
        <w:pStyle w:val="LOnormal"/>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9"/>
        </w:numPr>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Índices de Rendimento Acadêmico (IRA);</w:t>
      </w:r>
    </w:p>
    <w:p>
      <w:pPr>
        <w:pStyle w:val="LOnormal"/>
        <w:numPr>
          <w:ilvl w:val="0"/>
          <w:numId w:val="19"/>
        </w:numPr>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Entrevista realizada por integrantes da Pró-Reitoria de Gestão de Pessoas, com o dobro do número de vagas do setor;</w:t>
      </w:r>
    </w:p>
    <w:p>
      <w:pPr>
        <w:pStyle w:val="LOnormal"/>
        <w:numPr>
          <w:ilvl w:val="0"/>
          <w:numId w:val="19"/>
        </w:numPr>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Entrevista realizada por integrantes do setor de inscrição, como primeiro critério de desempate;</w:t>
      </w:r>
    </w:p>
    <w:p>
      <w:pPr>
        <w:pStyle w:val="LOnormal"/>
        <w:numPr>
          <w:ilvl w:val="0"/>
          <w:numId w:val="19"/>
        </w:numPr>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Matrícula mais antiga, como segundo critério de desempate;</w:t>
      </w:r>
    </w:p>
    <w:p>
      <w:pPr>
        <w:pStyle w:val="LOnormal"/>
        <w:numPr>
          <w:ilvl w:val="0"/>
          <w:numId w:val="19"/>
        </w:numPr>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Aluno de maior idade, como terceiro critério de desempate.</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3.3 Caso haja setor que não receba inscrições, pode haver remanejamento de inscritos de outro setor.</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3.3.1 O mesmo se aplica caso o cadastro de reserva do setor chegue ao fim.</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3.4 A distribuição das vagas respeitará, ainda, a equanimidade em relação aos cursos.</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4. TURNOS E HORÁRIOS </w:t>
      </w:r>
    </w:p>
    <w:p>
      <w:pPr>
        <w:pStyle w:val="LOnormal"/>
        <w:ind w:left="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As atividades da Bolsa de Apoio Administrativo serão distribuídas nos horários da manhã (das 8h às 12h), da tarde (das 14h às 18h) ou da noite (das 16h às 20h), devendo o setor responsável alocar a carga horária de modo a conciliar as necessidades do serviço com as ofertas dos cursos, garantindo o cumprimento de 20 (vinte) horas semanais.</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5. DA CONTRAPRESTAÇÃO </w:t>
      </w:r>
    </w:p>
    <w:p>
      <w:pPr>
        <w:pStyle w:val="LO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 Universidade Federal do Delta do Parnaíba - UFDPar, unidade concedente, pagará ao/à estudante uma bolsa no valor de R$ 700,00 (setecentos reais) mensais, correspondente à carga horária semanal de 20 (vinte) horas.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6. DAS INSCRIÇÕES DOS CANDIDATOS </w:t>
      </w:r>
    </w:p>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6.1. Somente serão aceitas as inscrições de alunos regularmente matriculados nos cursos de graduação da Universidade Federal do Delta do Parnaíba.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6.2. As inscrições serão realizadas no período de </w:t>
      </w:r>
      <w:r>
        <w:rPr>
          <w:rFonts w:eastAsia="Times New Roman" w:cs="Times New Roman" w:ascii="Times New Roman" w:hAnsi="Times New Roman"/>
          <w:sz w:val="24"/>
          <w:szCs w:val="24"/>
        </w:rPr>
        <w:t>07</w:t>
      </w:r>
      <w:r>
        <w:rPr>
          <w:rFonts w:eastAsia="Times New Roman" w:cs="Times New Roman" w:ascii="Times New Roman" w:hAnsi="Times New Roman"/>
          <w:sz w:val="24"/>
          <w:szCs w:val="24"/>
        </w:rPr>
        <w:t>/02/2025 a 1</w:t>
      </w:r>
      <w:r>
        <w:rPr>
          <w:rFonts w:eastAsia="Times New Roman" w:cs="Times New Roman" w:ascii="Times New Roman" w:hAnsi="Times New Roman"/>
          <w:sz w:val="24"/>
          <w:szCs w:val="24"/>
        </w:rPr>
        <w:t>3</w:t>
      </w:r>
      <w:r>
        <w:rPr>
          <w:rFonts w:eastAsia="Times New Roman" w:cs="Times New Roman" w:ascii="Times New Roman" w:hAnsi="Times New Roman"/>
          <w:sz w:val="24"/>
          <w:szCs w:val="24"/>
        </w:rPr>
        <w:t xml:space="preserve">/02/2025, por meio do link: https://selecaobolsistas.ufdpar.edu.br/login.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6.3. Caso o candidato realize mais de uma inscrição, será válida a última inscrição realizada, as outras inscrições serão automaticamente indeferidas pelo Sistema.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6.4. O prazo das inscrições poderá ser prorrogado a critério da PROGEP.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6.5. A inscrição do candidato implicará o conhecimento e aceitação tácita das condições estabelecidas no presente Edital, sobre as quais o candidato não poderá alegar desconhecimento.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7. DOCUMENTOS EXIGIDOS PARA INSCRIÇÃO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No questionário de inscrição disponível no link do item anterior, o(a) candidato(a) deverá informar os dados dos seguintes documentos: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Identidade; </w:t>
      </w:r>
    </w:p>
    <w:p>
      <w:pPr>
        <w:pStyle w:val="LOnormal"/>
        <w:numPr>
          <w:ilvl w:val="0"/>
          <w:numId w:val="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CPF; </w:t>
      </w:r>
    </w:p>
    <w:p>
      <w:pPr>
        <w:pStyle w:val="LOnormal"/>
        <w:numPr>
          <w:ilvl w:val="0"/>
          <w:numId w:val="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Histórico Acadêmico da UFDPar (não serão aceitos: Certificado do Ensino Médio, Histórico de notas do ensino médio; Relatório de Notas; Atestado de Matrícula e Comprovante de Solicitação de Matrícula); </w:t>
      </w:r>
    </w:p>
    <w:p>
      <w:pPr>
        <w:pStyle w:val="LOnormal"/>
        <w:numPr>
          <w:ilvl w:val="0"/>
          <w:numId w:val="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Dados Bancários;</w:t>
      </w:r>
    </w:p>
    <w:p>
      <w:pPr>
        <w:pStyle w:val="LOnormal"/>
        <w:numPr>
          <w:ilvl w:val="0"/>
          <w:numId w:val="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Declaração que dispõe das 20 horas semanais (Anexo I), assinada de próprio punho ou digitalmente através do assinador Gov.br. (Não serão aceitas declarações sem assinatura).</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OBSERVAÇÃO: Caso o estudante deixe de apresentar qualquer um dos documentos solicitados, da forma correta, a inscrição será indeferida.</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8. SELEÇÃO E PERMANÊNCIA DOS BOLSISTAS </w:t>
      </w:r>
    </w:p>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8.1 A seleção dos bolsistas ocorrerá em duas etapas, listadas a seguir: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21"/>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 caráter classificatório e eliminatório, que consistirá na análise do Índice de Rendimento Acadêmico (IRA) dos candidatos;</w:t>
      </w:r>
    </w:p>
    <w:p>
      <w:pPr>
        <w:pStyle w:val="LOnormal"/>
        <w:numPr>
          <w:ilvl w:val="0"/>
          <w:numId w:val="21"/>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 caráter classificatório, por meio de entrevistas com o dobro do número de candidatos com melhores IRAs por setor, realizadas pela PROGEP;</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8.2 O(A) bolsista passará por um período probatório de 30 dias, no qual será verificado se sua matrícula está ativa e se tem capacidade para prestar apoio administrativo no setor de lotação.</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8.3 A permanência do bolsista está condicionada a avaliação mensal, com análise dos seguintes fatores:</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9"/>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situação ativa da matrícula;</w:t>
      </w:r>
    </w:p>
    <w:p>
      <w:pPr>
        <w:pStyle w:val="LOnormal"/>
        <w:numPr>
          <w:ilvl w:val="0"/>
          <w:numId w:val="9"/>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adaptação às atividades do setor;</w:t>
      </w:r>
    </w:p>
    <w:p>
      <w:pPr>
        <w:pStyle w:val="LOnormal"/>
        <w:numPr>
          <w:ilvl w:val="0"/>
          <w:numId w:val="9"/>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assiduidade;</w:t>
      </w:r>
    </w:p>
    <w:p>
      <w:pPr>
        <w:pStyle w:val="LOnormal"/>
        <w:numPr>
          <w:ilvl w:val="0"/>
          <w:numId w:val="9"/>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pontualidade.</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8.4 A parcela de 31,11% (trinta e um vírgula onze por cento) das vagas reservadas para início imediato serão destinadas a estudantes cotistas.</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8.4.1 As vagas para cotistas, por setor, serão distribuídas conforme tabela a seguir:</w:t>
      </w:r>
    </w:p>
    <w:p>
      <w:pPr>
        <w:pStyle w:val="LOnormal"/>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Style w:val="Table2"/>
        <w:tblpPr w:vertAnchor="text" w:horzAnchor="text" w:bottomFromText="180" w:leftFromText="180" w:rightFromText="180" w:topFromText="180" w:tblpX="1407" w:tblpY="0"/>
        <w:tblW w:w="6795" w:type="dxa"/>
        <w:jc w:val="left"/>
        <w:tblInd w:w="-5" w:type="dxa"/>
        <w:tblLayout w:type="fixed"/>
        <w:tblCellMar>
          <w:top w:w="40" w:type="dxa"/>
          <w:left w:w="120" w:type="dxa"/>
          <w:bottom w:w="40" w:type="dxa"/>
          <w:right w:w="120" w:type="dxa"/>
        </w:tblCellMar>
        <w:tblLook w:val="0600"/>
      </w:tblPr>
      <w:tblGrid>
        <w:gridCol w:w="2355"/>
        <w:gridCol w:w="1605"/>
        <w:gridCol w:w="1575"/>
        <w:gridCol w:w="1259"/>
      </w:tblGrid>
      <w:tr>
        <w:trPr>
          <w:trHeight w:val="450" w:hRule="atLeast"/>
        </w:trPr>
        <w:tc>
          <w:tcPr>
            <w:tcW w:w="2355" w:type="dxa"/>
            <w:tcBorders>
              <w:top w:val="single" w:sz="4" w:space="0" w:color="000000"/>
              <w:left w:val="single" w:sz="4" w:space="0" w:color="000000"/>
              <w:bottom w:val="single" w:sz="4" w:space="0" w:color="000000"/>
              <w:right w:val="single" w:sz="4" w:space="0" w:color="000000"/>
            </w:tcBorders>
            <w:shd w:fill="356854" w:val="clear"/>
            <w:vAlign w:val="center"/>
          </w:tcPr>
          <w:p>
            <w:pPr>
              <w:pStyle w:val="LOnormal"/>
              <w:widowControl w:val="false"/>
              <w:jc w:val="center"/>
              <w:rPr>
                <w:rFonts w:ascii="Times New Roman" w:hAnsi="Times New Roman" w:eastAsia="Times New Roman" w:cs="Times New Roman"/>
                <w:b/>
                <w:b/>
                <w:color w:val="FFFFFF"/>
                <w:sz w:val="16"/>
                <w:szCs w:val="16"/>
              </w:rPr>
            </w:pPr>
            <w:r>
              <w:rPr>
                <w:rFonts w:eastAsia="Times New Roman" w:cs="Times New Roman" w:ascii="Times New Roman" w:hAnsi="Times New Roman"/>
                <w:b/>
                <w:color w:val="FFFFFF"/>
                <w:sz w:val="16"/>
                <w:szCs w:val="16"/>
              </w:rPr>
              <w:t>AMPLA CONCORRÊNCIA</w:t>
            </w:r>
          </w:p>
        </w:tc>
        <w:tc>
          <w:tcPr>
            <w:tcW w:w="1605" w:type="dxa"/>
            <w:tcBorders>
              <w:top w:val="single" w:sz="4" w:space="0" w:color="000000"/>
              <w:left w:val="single" w:sz="4" w:space="0" w:color="000000"/>
              <w:bottom w:val="single" w:sz="4" w:space="0" w:color="000000"/>
              <w:right w:val="single" w:sz="4" w:space="0" w:color="000000"/>
            </w:tcBorders>
            <w:shd w:fill="356854" w:val="clear"/>
            <w:vAlign w:val="center"/>
          </w:tcPr>
          <w:p>
            <w:pPr>
              <w:pStyle w:val="LOnormal"/>
              <w:widowControl w:val="false"/>
              <w:jc w:val="center"/>
              <w:rPr>
                <w:rFonts w:ascii="Times New Roman" w:hAnsi="Times New Roman" w:eastAsia="Times New Roman" w:cs="Times New Roman"/>
                <w:b/>
                <w:b/>
                <w:color w:val="FFFFFF"/>
                <w:sz w:val="16"/>
                <w:szCs w:val="16"/>
              </w:rPr>
            </w:pPr>
            <w:r>
              <w:rPr>
                <w:rFonts w:eastAsia="Times New Roman" w:cs="Times New Roman" w:ascii="Times New Roman" w:hAnsi="Times New Roman"/>
                <w:b/>
                <w:color w:val="FFFFFF"/>
                <w:sz w:val="16"/>
                <w:szCs w:val="16"/>
              </w:rPr>
              <w:t>COTA</w:t>
            </w:r>
          </w:p>
          <w:p>
            <w:pPr>
              <w:pStyle w:val="LOnormal"/>
              <w:widowControl w:val="false"/>
              <w:jc w:val="center"/>
              <w:rPr>
                <w:rFonts w:ascii="Times New Roman" w:hAnsi="Times New Roman" w:eastAsia="Times New Roman" w:cs="Times New Roman"/>
                <w:b/>
                <w:b/>
                <w:color w:val="FFFFFF"/>
                <w:sz w:val="16"/>
                <w:szCs w:val="16"/>
              </w:rPr>
            </w:pPr>
            <w:r>
              <w:rPr>
                <w:rFonts w:eastAsia="Times New Roman" w:cs="Times New Roman" w:ascii="Times New Roman" w:hAnsi="Times New Roman"/>
                <w:b/>
                <w:color w:val="FFFFFF"/>
                <w:sz w:val="16"/>
                <w:szCs w:val="16"/>
              </w:rPr>
              <w:t>NEGROS</w:t>
            </w:r>
          </w:p>
        </w:tc>
        <w:tc>
          <w:tcPr>
            <w:tcW w:w="1575" w:type="dxa"/>
            <w:tcBorders>
              <w:top w:val="single" w:sz="4" w:space="0" w:color="000000"/>
              <w:left w:val="single" w:sz="4" w:space="0" w:color="000000"/>
              <w:bottom w:val="single" w:sz="4" w:space="0" w:color="000000"/>
              <w:right w:val="single" w:sz="4" w:space="0" w:color="000000"/>
            </w:tcBorders>
            <w:shd w:fill="356854" w:val="clear"/>
            <w:vAlign w:val="center"/>
          </w:tcPr>
          <w:p>
            <w:pPr>
              <w:pStyle w:val="LOnormal"/>
              <w:widowControl w:val="false"/>
              <w:jc w:val="center"/>
              <w:rPr>
                <w:rFonts w:ascii="Times New Roman" w:hAnsi="Times New Roman" w:eastAsia="Times New Roman" w:cs="Times New Roman"/>
                <w:b/>
                <w:b/>
                <w:color w:val="FFFFFF"/>
                <w:sz w:val="16"/>
                <w:szCs w:val="16"/>
              </w:rPr>
            </w:pPr>
            <w:r>
              <w:rPr>
                <w:rFonts w:eastAsia="Times New Roman" w:cs="Times New Roman" w:ascii="Times New Roman" w:hAnsi="Times New Roman"/>
                <w:b/>
                <w:color w:val="FFFFFF"/>
                <w:sz w:val="16"/>
                <w:szCs w:val="16"/>
              </w:rPr>
              <w:t>COTA</w:t>
            </w:r>
          </w:p>
          <w:p>
            <w:pPr>
              <w:pStyle w:val="LOnormal"/>
              <w:widowControl w:val="false"/>
              <w:jc w:val="center"/>
              <w:rPr>
                <w:rFonts w:ascii="Times New Roman" w:hAnsi="Times New Roman" w:eastAsia="Times New Roman" w:cs="Times New Roman"/>
                <w:b/>
                <w:b/>
                <w:color w:val="FFFFFF"/>
                <w:sz w:val="16"/>
                <w:szCs w:val="16"/>
              </w:rPr>
            </w:pPr>
            <w:r>
              <w:rPr>
                <w:rFonts w:eastAsia="Times New Roman" w:cs="Times New Roman" w:ascii="Times New Roman" w:hAnsi="Times New Roman"/>
                <w:b/>
                <w:color w:val="FFFFFF"/>
                <w:sz w:val="16"/>
                <w:szCs w:val="16"/>
              </w:rPr>
              <w:t>PCD</w:t>
            </w:r>
          </w:p>
        </w:tc>
        <w:tc>
          <w:tcPr>
            <w:tcW w:w="1259" w:type="dxa"/>
            <w:tcBorders>
              <w:top w:val="single" w:sz="4" w:space="0" w:color="000000"/>
              <w:left w:val="single" w:sz="4" w:space="0" w:color="000000"/>
              <w:bottom w:val="single" w:sz="4" w:space="0" w:color="000000"/>
              <w:right w:val="single" w:sz="4" w:space="0" w:color="000000"/>
            </w:tcBorders>
            <w:shd w:fill="356854" w:val="clear"/>
            <w:vAlign w:val="center"/>
          </w:tcPr>
          <w:p>
            <w:pPr>
              <w:pStyle w:val="LOnormal"/>
              <w:widowControl w:val="false"/>
              <w:jc w:val="center"/>
              <w:rPr>
                <w:rFonts w:ascii="Times New Roman" w:hAnsi="Times New Roman" w:eastAsia="Times New Roman" w:cs="Times New Roman"/>
                <w:b/>
                <w:b/>
                <w:color w:val="FFFFFF"/>
                <w:sz w:val="16"/>
                <w:szCs w:val="16"/>
              </w:rPr>
            </w:pPr>
            <w:r>
              <w:rPr>
                <w:rFonts w:eastAsia="Times New Roman" w:cs="Times New Roman" w:ascii="Times New Roman" w:hAnsi="Times New Roman"/>
                <w:b/>
                <w:color w:val="FFFFFF"/>
                <w:sz w:val="16"/>
                <w:szCs w:val="16"/>
              </w:rPr>
              <w:t>TOTAL</w:t>
            </w:r>
          </w:p>
        </w:tc>
      </w:tr>
      <w:tr>
        <w:trPr>
          <w:trHeight w:val="345" w:hRule="atLeast"/>
        </w:trPr>
        <w:tc>
          <w:tcPr>
            <w:tcW w:w="235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31</w:t>
            </w:r>
          </w:p>
        </w:tc>
        <w:tc>
          <w:tcPr>
            <w:tcW w:w="160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10</w:t>
            </w:r>
          </w:p>
        </w:tc>
        <w:tc>
          <w:tcPr>
            <w:tcW w:w="157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4</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45</w:t>
            </w:r>
          </w:p>
        </w:tc>
      </w:tr>
    </w:tbl>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8.5 Na chamada do cadastro reserva, será observada a ordem de duas chamadas por ordem de IRA e uma chamada para estudante cotista, conforme classificação.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 CRONOGRAMA</w:t>
      </w:r>
    </w:p>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bl>
      <w:tblPr>
        <w:tblStyle w:val="Table3"/>
        <w:tblW w:w="9000" w:type="dxa"/>
        <w:jc w:val="left"/>
        <w:tblInd w:w="0" w:type="dxa"/>
        <w:tblLayout w:type="fixed"/>
        <w:tblCellMar>
          <w:top w:w="100" w:type="dxa"/>
          <w:left w:w="100" w:type="dxa"/>
          <w:bottom w:w="100" w:type="dxa"/>
          <w:right w:w="100" w:type="dxa"/>
        </w:tblCellMar>
        <w:tblLook w:val="0600"/>
      </w:tblPr>
      <w:tblGrid>
        <w:gridCol w:w="6509"/>
        <w:gridCol w:w="2490"/>
      </w:tblGrid>
      <w:tr>
        <w:trPr/>
        <w:tc>
          <w:tcPr>
            <w:tcW w:w="6509" w:type="dxa"/>
            <w:tcBorders>
              <w:top w:val="single" w:sz="8" w:space="0" w:color="000000"/>
              <w:left w:val="single" w:sz="8" w:space="0" w:color="000000"/>
              <w:bottom w:val="single" w:sz="8" w:space="0" w:color="000000"/>
              <w:right w:val="single" w:sz="8" w:space="0" w:color="000000"/>
            </w:tcBorders>
            <w:shd w:fill="D0E0E3"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rPr>
            </w:pPr>
            <w:r>
              <w:rPr>
                <w:rFonts w:eastAsia="Times New Roman" w:cs="Times New Roman" w:ascii="Times New Roman" w:hAnsi="Times New Roman"/>
                <w:b/>
              </w:rPr>
              <w:t>EVENTO</w:t>
            </w:r>
          </w:p>
        </w:tc>
        <w:tc>
          <w:tcPr>
            <w:tcW w:w="2490" w:type="dxa"/>
            <w:tcBorders>
              <w:top w:val="single" w:sz="8" w:space="0" w:color="000000"/>
              <w:left w:val="single" w:sz="8" w:space="0" w:color="000000"/>
              <w:bottom w:val="single" w:sz="8" w:space="0" w:color="000000"/>
              <w:right w:val="single" w:sz="8" w:space="0" w:color="000000"/>
            </w:tcBorders>
            <w:shd w:fill="D0E0E3"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rPr>
            </w:pPr>
            <w:r>
              <w:rPr>
                <w:rFonts w:eastAsia="Times New Roman" w:cs="Times New Roman" w:ascii="Times New Roman" w:hAnsi="Times New Roman"/>
                <w:b/>
              </w:rPr>
              <w:t>DATAS</w:t>
            </w:r>
          </w:p>
        </w:tc>
      </w:tr>
      <w:tr>
        <w:trPr/>
        <w:tc>
          <w:tcPr>
            <w:tcW w:w="65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Lançamento do Edital.</w:t>
            </w:r>
          </w:p>
        </w:tc>
        <w:tc>
          <w:tcPr>
            <w:tcW w:w="249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07/02/2025</w:t>
            </w:r>
          </w:p>
        </w:tc>
      </w:tr>
      <w:tr>
        <w:trPr/>
        <w:tc>
          <w:tcPr>
            <w:tcW w:w="65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Inscrição online/inserção de documentos.</w:t>
            </w:r>
          </w:p>
        </w:tc>
        <w:tc>
          <w:tcPr>
            <w:tcW w:w="249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07 a 13/02/2025</w:t>
            </w:r>
          </w:p>
        </w:tc>
      </w:tr>
      <w:tr>
        <w:trPr/>
        <w:tc>
          <w:tcPr>
            <w:tcW w:w="65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Entrevistas dos estudantes com os melhores IRAs.</w:t>
            </w:r>
          </w:p>
        </w:tc>
        <w:tc>
          <w:tcPr>
            <w:tcW w:w="249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 a 21/02/2025</w:t>
            </w:r>
          </w:p>
        </w:tc>
      </w:tr>
      <w:tr>
        <w:trPr/>
        <w:tc>
          <w:tcPr>
            <w:tcW w:w="65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Divulgação do resultado final.</w:t>
            </w:r>
          </w:p>
        </w:tc>
        <w:tc>
          <w:tcPr>
            <w:tcW w:w="249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26/02/2025</w:t>
            </w:r>
          </w:p>
        </w:tc>
      </w:tr>
      <w:tr>
        <w:trPr/>
        <w:tc>
          <w:tcPr>
            <w:tcW w:w="65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Assinatura do Termo de Compromisso e início das atividades.</w:t>
            </w:r>
          </w:p>
        </w:tc>
        <w:tc>
          <w:tcPr>
            <w:tcW w:w="249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06/03/2025</w:t>
            </w:r>
          </w:p>
        </w:tc>
      </w:tr>
      <w:tr>
        <w:trPr/>
        <w:tc>
          <w:tcPr>
            <w:tcW w:w="650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Final da Bolsa de Apoio Administrativo 2025.</w:t>
            </w:r>
          </w:p>
        </w:tc>
        <w:tc>
          <w:tcPr>
            <w:tcW w:w="249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31/12/2025</w:t>
            </w:r>
          </w:p>
        </w:tc>
      </w:tr>
    </w:tbl>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10. DISPOSIÇÕES GERAIS </w:t>
      </w:r>
    </w:p>
    <w:p>
      <w:pPr>
        <w:pStyle w:val="LOnormal"/>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10.1 A Bolsa de Apoio Administrativo se efetivará por meio da assinatura do Termo de Compromisso, firmado entre a Universidade Federal do Delta do Parnaíba e o(a) discente.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10.2 A Bolsa de Apoio Administrativo tem vigência até 31/12/2025 ou até a colação de grau do bolsista.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10.3 Candidatos(as) em cadastro de reserva poderão ser chamados(as) à medida em que haja vacância, respeitada a ordem de classificação do processo seletivo.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10.4 A Bolsa terá início a partir da data de assinatura do Termo de Compromisso.</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10.5 Para efetivação do repasse da bolsa, o(a) estudante deverá possuir CONTA CORRENTE (em qualquer banco) ou CONTA POUPANÇA (apenas da Caixa Econômica Federal) em sua titularidade.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10.6 A Bolsa de Apoio Administrativo poderá ser interrompida de acordo com os itens abaixo previstos no Termo de Compromisso: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Automaticamente, ao término da Bolsa de Apoio Administrativo;  </w:t>
      </w:r>
    </w:p>
    <w:p>
      <w:pPr>
        <w:pStyle w:val="LOnormal"/>
        <w:numPr>
          <w:ilvl w:val="0"/>
          <w:numId w:val="1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 pedido do bolsista; </w:t>
      </w:r>
    </w:p>
    <w:p>
      <w:pPr>
        <w:pStyle w:val="LOnormal"/>
        <w:numPr>
          <w:ilvl w:val="0"/>
          <w:numId w:val="1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 qualquer tempo, no interesse da Administração Superior da UFDPar; </w:t>
      </w:r>
    </w:p>
    <w:p>
      <w:pPr>
        <w:pStyle w:val="LOnormal"/>
        <w:numPr>
          <w:ilvl w:val="0"/>
          <w:numId w:val="1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Em decorrência do descumprimento de qualquer obrigação assumida no Termo de Compromisso; </w:t>
      </w:r>
    </w:p>
    <w:p>
      <w:pPr>
        <w:pStyle w:val="LOnormal"/>
        <w:numPr>
          <w:ilvl w:val="0"/>
          <w:numId w:val="1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Pelo não comparecimento, sem motivo justificado, por mais de 05 (cinco) dias, consecutivos ou não, no período de um mês, ou por trinta dias durante todo o período da bolsa; </w:t>
      </w:r>
    </w:p>
    <w:p>
      <w:pPr>
        <w:pStyle w:val="LOnormal"/>
        <w:numPr>
          <w:ilvl w:val="0"/>
          <w:numId w:val="1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Pela interrupção do curso a que pertença o bolsista; </w:t>
      </w:r>
    </w:p>
    <w:p>
      <w:pPr>
        <w:pStyle w:val="LOnormal"/>
        <w:numPr>
          <w:ilvl w:val="0"/>
          <w:numId w:val="1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Por desistência/abandono do curso ou por ocasião da colação de grau do bolsista; </w:t>
      </w:r>
    </w:p>
    <w:p>
      <w:pPr>
        <w:pStyle w:val="LOnormal"/>
        <w:numPr>
          <w:ilvl w:val="0"/>
          <w:numId w:val="15"/>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Por conduta incompatível com a exigida pela Administração.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10.7 Ao final da Bolsa de Apoio Administrativo, o(a) estudante receberá uma declaração de participação no Programa, exceto na hipótese em que o(a) estudante não obtiver aproveitamento satisfatório.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10.8 A Bolsa de Apoio Administrativo a ser paga, mensalmente, é de R$ 700,00 (setecentos reais). Será considerada, para efeito de cálculo do pagamento da bolsa, a frequência mensal do bolsista, a ser acompanhada mensalmente através de formulário enviado aos setores de lotação;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10.9 A jornada de atividades da Bolsa de Apoio Administrativo será de 20 (vinte) horas semanais, distribuídas em 4 (quatro) horas diárias, no horário de expediente do setor, sem prejuízo das atividades acadêmicas;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10.10 Este Edital terá vigência da data de sua publicação até 31 de dezembro de 2025.</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10.11 O resultado final, incluindo classificados da primeira chamada e do cadastro de reserva, será publicado no endereço eletrônico </w:t>
      </w:r>
      <w:hyperlink r:id="rId2">
        <w:r>
          <w:rPr>
            <w:rFonts w:eastAsia="Times New Roman" w:cs="Times New Roman" w:ascii="Times New Roman" w:hAnsi="Times New Roman"/>
            <w:sz w:val="24"/>
            <w:szCs w:val="24"/>
            <w:u w:val="single"/>
          </w:rPr>
          <w:t>https://ufdpar.edu.br</w:t>
        </w:r>
      </w:hyperlink>
      <w:r>
        <w:rPr>
          <w:rFonts w:eastAsia="Times New Roman" w:cs="Times New Roman" w:ascii="Times New Roman" w:hAnsi="Times New Roman"/>
          <w:sz w:val="24"/>
          <w:szCs w:val="24"/>
        </w:rPr>
        <w:t>.</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10.12 As convocações para preenchimento das vagas imediatas serão publicadas no endereço eletrônico </w:t>
      </w:r>
      <w:hyperlink r:id="rId3">
        <w:r>
          <w:rPr>
            <w:rFonts w:eastAsia="Times New Roman" w:cs="Times New Roman" w:ascii="Times New Roman" w:hAnsi="Times New Roman"/>
            <w:sz w:val="24"/>
            <w:szCs w:val="24"/>
            <w:u w:val="single"/>
          </w:rPr>
          <w:t>https://ufdpar.edu.br</w:t>
        </w:r>
      </w:hyperlink>
      <w:r>
        <w:rPr>
          <w:rFonts w:eastAsia="Times New Roman" w:cs="Times New Roman" w:ascii="Times New Roman" w:hAnsi="Times New Roman"/>
          <w:sz w:val="24"/>
          <w:szCs w:val="24"/>
        </w:rPr>
        <w:t xml:space="preserve">.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85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10.12.1 O aproveitamento no cadastro reserva será informado diretamente ao estudante classificado, através de chamada telefônica, mensagem via aplicativo WhatsApp ou e-mail, sem prejuízo da transparência, tendo em vista que a situação momentânea do cadastro reserva estará disponível a qualquer tempo, caso solicitada em comunicação formal a esta Pró-Reitoria de Gestão de Pessoas.</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10.13 É de responsabilidade dos candidatos que ficaram no Cadastro de Reserva manterem seus dados de contato atualizados, pois não assumindo no prazo estabelecido nas convocações, serão considerados desistentes e uma nova chamada será realizada.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10.14 O pagamento das bolsas deste edital será feito por meio do recurso de custeio da UFDPar, até o 5º (quinto) dia útil do mês subsequente.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10.15 Os casos omissos e as situações não contempladas neste Edital serão resolvidos pela equipe da Pró-Reitoria de Gestão de Pessoas da UFDPar.</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Parnaíba-PI, 07 de fevereiro de 2025</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Aurélio Vinícius Araújo Silva</w:t>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Pró-Reitor de Gestão de Pessoas</w:t>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ANEXO I</w:t>
      </w:r>
    </w:p>
    <w:p>
      <w:pPr>
        <w:pStyle w:val="LOnormal"/>
        <w:ind w:left="0"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DECLARAÇÃO DE CARGA HORÁRIA DISPONÍVEL </w:t>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Eu, ________________________________________________________________, aluno(a) do curso de ___________________, matrícula n° ______________, declaro, junto à UNIVERSIDADE FEDERAL DO DELTA DO PARNAÍBA, que que disponho de 20 (vinte) horas semanais para dedicação às atividades do Programa Bolsa de Apoio Administrativo, conforme consta no item 1.2.d do Edital nº 02/2025 PROGEP/UFDPar. </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Parnaíba (PI), __/02/2025</w:t>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Assinatura do(a) Candidato(a) </w:t>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ANEXO II</w:t>
      </w:r>
    </w:p>
    <w:p>
      <w:pPr>
        <w:pStyle w:val="LOnormal"/>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VAGAS E PERFIL POR SETOR</w:t>
      </w:r>
    </w:p>
    <w:p>
      <w:pPr>
        <w:pStyle w:val="LO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25"/>
        </w:numPr>
        <w:ind w:left="720"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Biblioteca Central Professor Cândido Athayde</w:t>
      </w:r>
    </w:p>
    <w:p>
      <w:pPr>
        <w:pStyle w:val="LOnormal"/>
        <w:ind w:left="72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06</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organização, boa comunicação e domínio de ferramentas digitais.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20"/>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Coleção Zoológica Delta do Parnaíba</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Ciências Biológicas, Engenharia de Pesca e Turismo.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e domínio de ferramentas digitais.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Editora</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escrita e domínio de ferramentas digitais.</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7"/>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Escola de Aplicação Ministro Reis Velloso</w:t>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02</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Administração e Pedagogia.</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organização, boa escrita, boa comunicação, domínio de ferramentas digitais e capacidade de acompanhamento e suporte a atividades típicas do ensino básico.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6"/>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Estação de Aquicultura</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02</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Administração, Economia e Engenharia de Pesca.</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proatividade e habilidade com programas de escrita e de planilhas.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0"/>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Herbário do Delta</w:t>
      </w:r>
    </w:p>
    <w:p>
      <w:pPr>
        <w:pStyle w:val="LOnormal"/>
        <w:ind w:left="72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02</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Ciências Biológicas.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saber identificar espécies vegetais, coletar e preparar amostras botânicas, organizar e catalogar amostras, habilidade com ferramentas tecnológicas.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0"/>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PRAE</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e domínio de ferramentas digitais.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2"/>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PREG </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e domínio de ferramentas digitais.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2"/>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PREG - Divisão de Laboratório de Ensinos</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 xml:space="preserve">02 </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Ciências Biológicas, Biomedicina e Medicina.</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conhecimentos de materiais da área da saúde e biológica, organização, controle de estoque, boa comunicação e domínio de ferramentas digitais.</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24"/>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PREUNI</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Administração e Ciências Contábeis.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e domínio de ferramentas digitais.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4"/>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PREX</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 xml:space="preserve">02 </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domínio de redes sociais e ferramentas digitais e criativas.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26"/>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PROGEP</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 xml:space="preserve">02 </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domínio de redes sociais e ferramentas digitais e criativas; é imprescindível ser discreto e respeitar o alto grau de sigilo que o setor exige.</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8"/>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PROPLAN</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 xml:space="preserve">02 </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Administração, Ciências Contábeis e Economia.</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capacidade de inovação em processos administrativos, com domínio de ferramentas de suporte às atividades do setor, tais quais: Canva, PhotoShop e Pacote Office.</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3"/>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PROPOPI</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Administração.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domínio de redes sociais e ferramentas digitais e criativas.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7"/>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PROTIC</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verbal e escrita, habilidade com planilhas e domínio básico de ferramentas de design e edição, como Canva.</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7"/>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PROTIC - Coordenadoria de Comunicação Institucional</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08</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verbal e escrita, habilidade no gerenciamento de mídias sociais, domínio básico de ferramentas de design e edição, tais como CapCut, Corel e Canva, desenvoltura e disponibilidade para atuar em campanhas, vídeos institucionais e programas de webrádio.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1"/>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Procuradoria</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Habilidades e competências: </w:t>
      </w:r>
      <w:r>
        <w:rPr>
          <w:rFonts w:eastAsia="Times New Roman" w:cs="Times New Roman" w:ascii="Times New Roman" w:hAnsi="Times New Roman"/>
          <w:sz w:val="24"/>
          <w:szCs w:val="24"/>
        </w:rPr>
        <w:t>capacidade de organização e gestão documental, incluindo arquivamento e controle de processos jurídicos; boa redação e comunicação escrita para elaboração de documentos oficiais e auxílio em minutas; domínio de ferramentas digitais; é imprescindível ser discreto e respeitar o alto grau de sigilo que o setor exige.</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4"/>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Reitoria - Recepção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02</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aptidão para atendimento ao público e domínio de Pacote Office.</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8"/>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Reitoria - Cerimonial</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03</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Turismo e Administração.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flexibilidade de horários, boa comunicação, criatividade, proatividade e capacidade de lidar com imprevistos.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3"/>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Reitoria - Assessoria para Assuntos Internacionais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Administração, Ciências Contábeis, Economia e Turismo.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proatividade, organização, criatividade e facilidade com tecnologias.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2"/>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Reitoria - Assessoria Especial</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Administração, Ciências Contábeis e Economia.</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facilidade com edição de textos em ferramentas digitais, presteza e agilidade na análise de documentos.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6"/>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Serviço Escola de Fisioterapia</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Fisioterapia.</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boa comunicação e domínio de ferramentas digitais.</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23"/>
        </w:numPr>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Serviço Escola de Psicologia</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 de vagas: </w:t>
      </w:r>
      <w:r>
        <w:rPr>
          <w:rFonts w:eastAsia="Times New Roman" w:cs="Times New Roman" w:ascii="Times New Roman" w:hAnsi="Times New Roman"/>
          <w:sz w:val="24"/>
          <w:szCs w:val="24"/>
        </w:rPr>
        <w:t>01</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Curso UFDPar sugerido: </w:t>
      </w:r>
      <w:r>
        <w:rPr>
          <w:rFonts w:eastAsia="Times New Roman" w:cs="Times New Roman" w:ascii="Times New Roman" w:hAnsi="Times New Roman"/>
          <w:sz w:val="24"/>
          <w:szCs w:val="24"/>
        </w:rPr>
        <w:t>qualquer curso de graduação.</w:t>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Habilidades e competências:</w:t>
      </w:r>
      <w:r>
        <w:rPr>
          <w:rFonts w:eastAsia="Times New Roman" w:cs="Times New Roman" w:ascii="Times New Roman" w:hAnsi="Times New Roman"/>
          <w:sz w:val="24"/>
          <w:szCs w:val="24"/>
        </w:rPr>
        <w:t xml:space="preserve"> organização, apoio em atividades e projetos, domínio de ferramentas digitais e suporte na recepção e fluxo interno.</w:t>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0" w:hanging="0"/>
        <w:jc w:val="left"/>
        <w:rPr>
          <w:rFonts w:ascii="Times New Roman" w:hAnsi="Times New Roman" w:eastAsia="Times New Roman" w:cs="Times New Roman"/>
          <w:sz w:val="24"/>
          <w:szCs w:val="24"/>
        </w:rPr>
      </w:pPr>
      <w:r>
        <w:rPr/>
      </w:r>
    </w:p>
    <w:sectPr>
      <w:headerReference w:type="default" r:id="rId4"/>
      <w:type w:val="nextPage"/>
      <w:pgSz w:w="11906" w:h="16838"/>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jc w:val="center"/>
      <w:rPr/>
    </w:pPr>
    <w:r>
      <w:rPr/>
      <w:drawing>
        <wp:inline distT="0" distB="0" distL="0" distR="0">
          <wp:extent cx="1320165" cy="74803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320165" cy="748030"/>
                  </a:xfrm>
                  <a:prstGeom prst="rect">
                    <a:avLst/>
                  </a:prstGeom>
                </pic:spPr>
              </pic:pic>
            </a:graphicData>
          </a:graphic>
        </wp:inline>
      </w:drawing>
    </w:r>
  </w:p>
  <w:p>
    <w:pPr>
      <w:pStyle w:val="LOnormal"/>
      <w:jc w:val="center"/>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MINISTÉRIO DA EDUCAÇÃO </w:t>
    </w:r>
  </w:p>
  <w:p>
    <w:pPr>
      <w:pStyle w:val="LOnormal"/>
      <w:jc w:val="center"/>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UNIVERSIDADE FEDERAL DO DELTA DO PARNAÍBA </w:t>
    </w:r>
  </w:p>
  <w:p>
    <w:pPr>
      <w:pStyle w:val="LOnormal"/>
      <w:jc w:val="center"/>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PRÓ-REITORIA DE GESTÃO DE PESSOAS</w:t>
    </w:r>
  </w:p>
  <w:p>
    <w:pPr>
      <w:pStyle w:val="LOnormal"/>
      <w:jc w:val="center"/>
      <w:rPr>
        <w:rFonts w:ascii="Times New Roman" w:hAnsi="Times New Roman" w:eastAsia="Times New Roman" w:cs="Times New Roman"/>
        <w:b/>
        <w:b/>
        <w:sz w:val="18"/>
        <w:szCs w:val="18"/>
      </w:rPr>
    </w:pPr>
    <w:r>
      <w:rPr>
        <w:rFonts w:eastAsia="Times New Roman" w:cs="Times New Roman" w:ascii="Times New Roman" w:hAnsi="Times New Roman"/>
        <w:b/>
        <w:sz w:val="18"/>
        <w:szCs w:val="18"/>
      </w:rPr>
    </w:r>
  </w:p>
  <w:p>
    <w:pPr>
      <w:pStyle w:val="LOnormal"/>
      <w:jc w:val="center"/>
      <w:rPr>
        <w:rFonts w:ascii="Times New Roman" w:hAnsi="Times New Roman" w:eastAsia="Times New Roman" w:cs="Times New Roman"/>
        <w:b/>
        <w:b/>
        <w:sz w:val="18"/>
        <w:szCs w:val="18"/>
      </w:rPr>
    </w:pPr>
    <w:r>
      <w:rPr>
        <w:rFonts w:eastAsia="Times New Roman" w:cs="Times New Roman" w:ascii="Times New Roman" w:hAnsi="Times New Roman"/>
        <w:b/>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9">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1">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Contedodoquadro">
    <w:name w:val="Conteúdo do quadro"/>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fdpar.edu.br/" TargetMode="External"/><Relationship Id="rId3" Type="http://schemas.openxmlformats.org/officeDocument/2006/relationships/hyperlink" Target="https://ufdpar.edu.br/"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14</Pages>
  <Words>2495</Words>
  <Characters>14293</Characters>
  <CharactersWithSpaces>16568</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2025-02-07T15:24:04Z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